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3.png" ContentType="image/png"/>
  <Override PartName="/word/media/image1.jpeg" ContentType="image/jpeg"/>
  <Override PartName="/word/media/image2.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media/image9.png" ContentType="image/png"/>
  <Override PartName="/word/media/image10.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11"/>
        <w:jc w:val="both"/>
        <w:rPr/>
      </w:pPr>
      <w:r>
        <w:rPr/>
        <w:t>13 ГЕОДЕЗИЯЛЫҚ ЖЕЛІНІ ОҢТАЙЛЫ ЖОБАЛАУ. ЖОБАЛАУДЫҢ ҮШІНШІ ДЕҢГЕЙІ</w:t>
      </w:r>
    </w:p>
    <w:p>
      <w:pPr>
        <w:pStyle w:val="11"/>
        <w:rPr/>
      </w:pPr>
      <w:r>
        <w:rPr/>
      </w:r>
    </w:p>
    <w:p>
      <w:pPr>
        <w:pStyle w:val="11"/>
        <w:rPr/>
      </w:pPr>
      <w:r>
        <w:rPr/>
        <w:t xml:space="preserve">Карталар мен жоспарлар жасау, геодезиялық міндеттерді шешу, оның ішінде құрылысты геодезиялық қамтамасыз ету үшін жер бетінде бір-бірімен бірыңғай координаттар жүйесімен байланысқан бірқатар нүктелер орналасады. Жер бетіндегі немесе ғимараттар мен құрылыстардағы бұл нүктелер орталықтармен (белгілермен) бекітіледі. Орналасуы бірыңғай координаттар жүйесінде анықталған жерде немесе ғимаратта бекітілген нүктелердің (пункттердің) жиынтығы геодезиялық </w:t>
      </w:r>
      <w:r>
        <w:rPr>
          <w:lang w:val="kk-KZ"/>
        </w:rPr>
        <w:t xml:space="preserve">торлар </w:t>
      </w:r>
      <w:r>
        <w:rPr/>
        <w:t xml:space="preserve">деп аталады. Геодезиялық </w:t>
      </w:r>
      <w:r>
        <w:rPr>
          <w:lang w:val="kk-KZ"/>
        </w:rPr>
        <w:t>торлар</w:t>
      </w:r>
      <w:r>
        <w:rPr/>
        <w:t xml:space="preserve"> </w:t>
      </w:r>
      <w:r>
        <w:rPr>
          <w:lang w:val="kk-KZ"/>
        </w:rPr>
        <w:t>пландық</w:t>
      </w:r>
      <w:r>
        <w:rPr/>
        <w:t xml:space="preserve"> және биіктік болып бөлінеді: біріншісі геодезиялық орталықтардың х және </w:t>
      </w:r>
      <w:r>
        <w:rPr>
          <w:lang w:val="kk-KZ"/>
        </w:rPr>
        <w:t>у</w:t>
      </w:r>
      <w:r>
        <w:rPr/>
        <w:t xml:space="preserve"> координаттарын анықтау үшін, екіншісі - олардың биіктігін Н анықтау үшін қолданылады. Жерге бекітілген нүктелердің шыңдарының жоспарланған координаттарын есептеу үшін геометриялық фигуралардың элементтерін және фигуралардың бірінің бүйірінің </w:t>
      </w:r>
      <w:r>
        <w:rPr>
          <w:lang w:val="kk-KZ"/>
        </w:rPr>
        <w:t>д</w:t>
      </w:r>
      <w:r>
        <w:rPr/>
        <w:t xml:space="preserve">ирекция бұрышын және шыңдардың бірінің координаттарын білу қажет. Нүктелердің (реперлердің) биіктігін анықтау үшін олар негізінен геометриялық нивелирлеу </w:t>
      </w:r>
      <w:r>
        <w:rPr>
          <w:lang w:val="kk-KZ"/>
        </w:rPr>
        <w:t>торларын</w:t>
      </w:r>
      <w:r>
        <w:rPr/>
        <w:t xml:space="preserve">, сондай-ақ тригонометриялық нивелирлеу әдісін жасайды. Геодезиялық желілер 4 түрге бөлінеді: мемлекеттік, </w:t>
      </w:r>
      <w:r>
        <w:rPr>
          <w:lang w:val="kk-KZ"/>
        </w:rPr>
        <w:t>жиілендіру</w:t>
      </w:r>
      <w:r>
        <w:rPr/>
        <w:t xml:space="preserve">, түсіру және арнайы. Олар барлық басқа </w:t>
      </w:r>
      <w:r>
        <w:rPr>
          <w:lang w:val="kk-KZ"/>
        </w:rPr>
        <w:t>торларды</w:t>
      </w:r>
      <w:r>
        <w:rPr/>
        <w:t xml:space="preserve"> құру үшін бастапқы болып табылады және 4 </w:t>
      </w:r>
      <w:r>
        <w:rPr>
          <w:lang w:val="kk-KZ"/>
        </w:rPr>
        <w:t>классқа</w:t>
      </w:r>
      <w:r>
        <w:rPr/>
        <w:t xml:space="preserve"> бөлінеді. 1 </w:t>
      </w:r>
      <w:r>
        <w:rPr>
          <w:lang w:val="kk-KZ"/>
        </w:rPr>
        <w:t>классты</w:t>
      </w:r>
      <w:r>
        <w:rPr/>
        <w:t xml:space="preserve"> мемлекеттік геодезиялық </w:t>
      </w:r>
      <w:r>
        <w:rPr>
          <w:lang w:val="kk-KZ"/>
        </w:rPr>
        <w:t>тордың</w:t>
      </w:r>
      <w:r>
        <w:rPr/>
        <w:t xml:space="preserve"> негізгі мақсаты мынадай::</w:t>
      </w:r>
    </w:p>
    <w:p>
      <w:pPr>
        <w:pStyle w:val="11"/>
        <w:rPr/>
      </w:pPr>
      <w:r>
        <w:rPr/>
        <w:t xml:space="preserve">- төменгі </w:t>
      </w:r>
      <w:r>
        <w:rPr>
          <w:lang w:val="kk-KZ"/>
        </w:rPr>
        <w:t>кластардың</w:t>
      </w:r>
      <w:r>
        <w:rPr/>
        <w:t xml:space="preserve"> геодезиялық </w:t>
      </w:r>
      <w:r>
        <w:rPr>
          <w:lang w:val="kk-KZ"/>
        </w:rPr>
        <w:t>торларын</w:t>
      </w:r>
      <w:r>
        <w:rPr/>
        <w:t xml:space="preserve"> дамыту және олардың пункттерінің бірыңғай жүйеде координаттарын есептеу үшін негіз болады;</w:t>
      </w:r>
    </w:p>
    <w:p>
      <w:pPr>
        <w:pStyle w:val="11"/>
        <w:rPr/>
      </w:pPr>
      <w:r>
        <w:rPr/>
        <w:t xml:space="preserve">- </w:t>
      </w:r>
      <w:r>
        <w:rPr>
          <w:lang w:val="kk-KZ"/>
        </w:rPr>
        <w:t>г</w:t>
      </w:r>
      <w:r>
        <w:rPr/>
        <w:t>еодезияның ғылыми міндеттерін шешу үшін нақты деректерді жеткізу.</w:t>
      </w:r>
    </w:p>
    <w:p>
      <w:pPr>
        <w:pStyle w:val="11"/>
        <w:rPr/>
      </w:pPr>
      <w:r>
        <w:rPr/>
        <w:t>2-</w:t>
      </w:r>
      <w:r>
        <w:rPr>
          <w:lang w:val="kk-KZ"/>
        </w:rPr>
        <w:t>класты</w:t>
      </w:r>
      <w:r>
        <w:rPr/>
        <w:t xml:space="preserve"> және одан төмен Мемлекеттік </w:t>
      </w:r>
      <w:r>
        <w:rPr>
          <w:lang w:val="kk-KZ"/>
        </w:rPr>
        <w:t>г</w:t>
      </w:r>
      <w:r>
        <w:rPr/>
        <w:t xml:space="preserve">еодезиялық </w:t>
      </w:r>
      <w:r>
        <w:rPr>
          <w:lang w:val="kk-KZ"/>
        </w:rPr>
        <w:t>торды</w:t>
      </w:r>
      <w:r>
        <w:rPr/>
        <w:t xml:space="preserve"> дамытудың мақсаты кейінгі геодезиялық және топографиялық жұмыстарды орындау және елдің халық шаруашылығы мен қорғанысының басқа да талаптарын қанағаттандыру үшін қажетті қалыңдықтағы бүкіл мемлекеттің аумағында геодезиялық пункттер </w:t>
      </w:r>
      <w:r>
        <w:rPr>
          <w:lang w:val="kk-KZ"/>
        </w:rPr>
        <w:t>торын</w:t>
      </w:r>
      <w:r>
        <w:rPr/>
        <w:t xml:space="preserve"> құру болып табылады. КСРО-ның 1-ші класты мемлекеттік </w:t>
      </w:r>
      <w:r>
        <w:rPr>
          <w:lang w:val="kk-KZ"/>
        </w:rPr>
        <w:t>пландау</w:t>
      </w:r>
      <w:r>
        <w:rPr/>
        <w:t xml:space="preserve"> және геодезиялық </w:t>
      </w:r>
      <w:r>
        <w:rPr>
          <w:lang w:val="kk-KZ"/>
        </w:rPr>
        <w:t>торы</w:t>
      </w:r>
      <w:r>
        <w:rPr/>
        <w:t xml:space="preserve"> шамамен меридиандар мен параллельдер бойынша орналасқан триангуляция немесе полигонометрия жолдарымен құрылған полигондар түрінде салынған. Полигондардың периметрі шамамен 800 км, ал олардың жақтары (буындары) 200 км-ден аспауы тиіс. Триангуляция буындарының ұштарында базистік жақтар өлшенеді. 2-</w:t>
      </w:r>
      <w:r>
        <w:rPr>
          <w:lang w:val="kk-KZ"/>
        </w:rPr>
        <w:t>класты</w:t>
      </w:r>
      <w:r>
        <w:rPr/>
        <w:t xml:space="preserve"> мемлекеттік геодезиялық </w:t>
      </w:r>
      <w:r>
        <w:rPr>
          <w:lang w:val="kk-KZ"/>
        </w:rPr>
        <w:t>тор</w:t>
      </w:r>
      <w:r>
        <w:rPr/>
        <w:t xml:space="preserve"> 1-</w:t>
      </w:r>
      <w:r>
        <w:rPr>
          <w:lang w:val="kk-KZ"/>
        </w:rPr>
        <w:t>класты</w:t>
      </w:r>
      <w:r>
        <w:rPr/>
        <w:t xml:space="preserve"> полигондардың ішінде тұтас триангуляциялық </w:t>
      </w:r>
      <w:r>
        <w:rPr>
          <w:lang w:val="kk-KZ"/>
        </w:rPr>
        <w:t>тор</w:t>
      </w:r>
      <w:r>
        <w:rPr/>
        <w:t xml:space="preserve"> түрінде немесе полигонометрияның қиылысатын өту жүйесі түрінде құрылады. 1-</w:t>
      </w:r>
      <w:r>
        <w:rPr>
          <w:lang w:val="kk-KZ"/>
        </w:rPr>
        <w:t>класты</w:t>
      </w:r>
      <w:r>
        <w:rPr/>
        <w:t xml:space="preserve"> полигондардың ішінде 2-</w:t>
      </w:r>
      <w:r>
        <w:rPr>
          <w:lang w:val="kk-KZ"/>
        </w:rPr>
        <w:t>кластың</w:t>
      </w:r>
      <w:r>
        <w:rPr/>
        <w:t xml:space="preserve"> бірнеше пункттерінде ендіктің, бойлықтың және азимуттың астрономиялық анықтамалары жүргізіледі. Триангуляция әдісімен анықталған 3 және 4-</w:t>
      </w:r>
      <w:r>
        <w:rPr>
          <w:lang w:val="kk-KZ"/>
        </w:rPr>
        <w:t xml:space="preserve">класс </w:t>
      </w:r>
      <w:r>
        <w:rPr/>
        <w:t xml:space="preserve">желілерінің пункттері жоғары </w:t>
      </w:r>
      <w:r>
        <w:rPr>
          <w:lang w:val="kk-KZ"/>
        </w:rPr>
        <w:t>класс</w:t>
      </w:r>
      <w:r>
        <w:rPr/>
        <w:t xml:space="preserve"> </w:t>
      </w:r>
      <w:r>
        <w:rPr>
          <w:lang w:val="kk-KZ"/>
        </w:rPr>
        <w:t>торының</w:t>
      </w:r>
      <w:r>
        <w:rPr/>
        <w:t xml:space="preserve"> бүйірлеріне негізделген үшбұрыштардың жеке жүйелері түрінде құрылады. Барлық мемлекеттік триангуляция немесе полигонометрия пункттерінде негізгі пункттен 500-1000 м қашықтықта және </w:t>
      </w:r>
      <w:r>
        <w:rPr>
          <w:lang w:val="kk-KZ"/>
        </w:rPr>
        <w:t>ж</w:t>
      </w:r>
      <w:r>
        <w:rPr/>
        <w:t xml:space="preserve">ерден көрінетін екі бағдарлы пункт орнату көзделеді. </w:t>
      </w:r>
      <w:r>
        <w:rPr>
          <w:lang w:val="kk-KZ"/>
        </w:rPr>
        <w:t xml:space="preserve">Тордың </w:t>
      </w:r>
      <w:r>
        <w:rPr/>
        <w:t xml:space="preserve"> негізгі жақтары мен бағдарлық нүктелерге арналған бағыттар арасында орташа квадраттық қателігі ±2,5 " болатын бұрыштар өлшенеді. Бағдарлық пункттер төменгі разрядтағы геодезиялық </w:t>
      </w:r>
      <w:r>
        <w:rPr>
          <w:lang w:val="kk-KZ"/>
        </w:rPr>
        <w:t>торларды</w:t>
      </w:r>
      <w:r>
        <w:rPr/>
        <w:t xml:space="preserve"> азимуттық байланыстыруға арналады. Топографиялық түсірілімдер үшін тірек </w:t>
      </w:r>
      <w:r>
        <w:rPr>
          <w:lang w:val="kk-KZ"/>
        </w:rPr>
        <w:t>тор</w:t>
      </w:r>
      <w:r>
        <w:rPr/>
        <w:t xml:space="preserve"> ретінде геодезиялық пункттердің тығыздығы белгіленген:</w:t>
      </w:r>
    </w:p>
    <w:p>
      <w:pPr>
        <w:pStyle w:val="11"/>
        <w:rPr/>
      </w:pPr>
      <w:r>
        <w:rPr/>
        <w:t>- масштабта түсіру үшін 1:25000 и 1:10000- 1 пункт на 50-60 км</w:t>
      </w:r>
      <w:r>
        <w:rPr>
          <w:vertAlign w:val="superscript"/>
        </w:rPr>
        <w:t>2</w:t>
      </w:r>
      <w:r>
        <w:rPr/>
        <w:t> ;</w:t>
      </w:r>
    </w:p>
    <w:p>
      <w:pPr>
        <w:pStyle w:val="11"/>
        <w:rPr/>
      </w:pPr>
      <w:r>
        <w:rPr/>
        <w:t>- масштабта түсіру үшін 1:5000- 20-30 км</w:t>
      </w:r>
      <w:r>
        <w:rPr>
          <w:vertAlign w:val="superscript"/>
        </w:rPr>
        <w:t xml:space="preserve">2 </w:t>
      </w:r>
      <w:r>
        <w:rPr>
          <w:position w:val="0"/>
          <w:sz w:val="28"/>
          <w:vertAlign w:val="baseline"/>
        </w:rPr>
        <w:t>-</w:t>
      </w:r>
      <w:r>
        <w:rPr>
          <w:position w:val="0"/>
          <w:sz w:val="28"/>
          <w:vertAlign w:val="baseline"/>
          <w:lang w:val="kk-KZ"/>
        </w:rPr>
        <w:t>ге 1 пункт</w:t>
      </w:r>
      <w:r>
        <w:rPr/>
        <w:t> ;</w:t>
      </w:r>
    </w:p>
    <w:p>
      <w:pPr>
        <w:pStyle w:val="11"/>
        <w:rPr/>
      </w:pPr>
      <w:r>
        <w:rPr/>
        <w:t xml:space="preserve">- масштабта түсіру үшін 1:2000 </w:t>
      </w:r>
      <w:r>
        <w:rPr>
          <w:lang w:val="kk-KZ"/>
        </w:rPr>
        <w:t>және</w:t>
      </w:r>
      <w:r>
        <w:rPr/>
        <w:t xml:space="preserve"> үлкенірек -  5-15 км</w:t>
      </w:r>
      <w:r>
        <w:rPr>
          <w:vertAlign w:val="superscript"/>
        </w:rPr>
        <w:t>2</w:t>
      </w:r>
      <w:r>
        <w:rPr>
          <w:position w:val="0"/>
          <w:sz w:val="28"/>
          <w:vertAlign w:val="baseline"/>
        </w:rPr>
        <w:t>-</w:t>
      </w:r>
      <w:r>
        <w:rPr>
          <w:position w:val="0"/>
          <w:sz w:val="28"/>
          <w:vertAlign w:val="baseline"/>
          <w:lang w:val="kk-KZ"/>
        </w:rPr>
        <w:t>ге 1 пункт</w:t>
      </w:r>
      <w:r>
        <w:rPr/>
        <w:t>.</w:t>
      </w:r>
    </w:p>
    <w:p>
      <w:pPr>
        <w:pStyle w:val="11"/>
        <w:rPr/>
      </w:pPr>
      <w:r>
        <w:rPr/>
        <w:t xml:space="preserve">Әрбір учаскедегі геодезиялық </w:t>
      </w:r>
      <w:r>
        <w:rPr>
          <w:lang w:val="kk-KZ"/>
        </w:rPr>
        <w:t>торды</w:t>
      </w:r>
      <w:r>
        <w:rPr/>
        <w:t xml:space="preserve"> дамыту жөніндегі жұмыстардың құрамы мынадай:</w:t>
      </w:r>
    </w:p>
    <w:p>
      <w:pPr>
        <w:pStyle w:val="11"/>
        <w:rPr/>
      </w:pPr>
      <w:r>
        <w:rPr/>
        <w:t xml:space="preserve">- ең ірі масштабтағы қолда бар карталар бойынша геодезиялық </w:t>
      </w:r>
      <w:r>
        <w:rPr>
          <w:lang w:val="kk-KZ"/>
        </w:rPr>
        <w:t>тордың</w:t>
      </w:r>
      <w:r>
        <w:rPr/>
        <w:t xml:space="preserve"> жобасын жасау;</w:t>
      </w:r>
    </w:p>
    <w:p>
      <w:pPr>
        <w:pStyle w:val="11"/>
        <w:rPr/>
      </w:pPr>
      <w:r>
        <w:rPr/>
        <w:t xml:space="preserve">- жергілікті жерде жобаны нақтылаудан тұратын барлау-пункттердің орналасуына, белгілердің биіктігіне қатысты, жобада белгіленген </w:t>
      </w:r>
      <w:r>
        <w:rPr>
          <w:lang w:val="kk-KZ"/>
        </w:rPr>
        <w:t>ә</w:t>
      </w:r>
      <w:r>
        <w:rPr/>
        <w:t>дістеменің орындылығын тексеру және т. б.;</w:t>
      </w:r>
    </w:p>
    <w:p>
      <w:pPr>
        <w:pStyle w:val="11"/>
        <w:rPr/>
      </w:pPr>
      <w:r>
        <w:rPr/>
        <w:t xml:space="preserve">- </w:t>
      </w:r>
      <w:r>
        <w:rPr>
          <w:lang w:val="kk-KZ"/>
        </w:rPr>
        <w:t>г</w:t>
      </w:r>
      <w:r>
        <w:rPr/>
        <w:t>еодезиялық белгілерді салу және орталықтар салу;</w:t>
      </w:r>
    </w:p>
    <w:p>
      <w:pPr>
        <w:pStyle w:val="11"/>
        <w:rPr/>
      </w:pPr>
      <w:r>
        <w:rPr/>
        <w:t>- геодезиялық өлшеулер өндірісі - бұрыштық, сызықтық, астрономиялық, гравиметриялық;</w:t>
      </w:r>
    </w:p>
    <w:p>
      <w:pPr>
        <w:pStyle w:val="11"/>
        <w:rPr/>
      </w:pPr>
      <w:r>
        <w:rPr/>
        <w:t>- өлшеу нәтижелерін математикалық өңдеу, нәтижесінде каталогтарға жинақталған геодезиялық пункттердің координаттары есептеледі. Өңдеу реттілігі-жоғарыдан төменге дейін.</w:t>
      </w:r>
    </w:p>
    <w:p>
      <w:pPr>
        <w:pStyle w:val="11"/>
        <w:rPr/>
      </w:pPr>
      <w:r>
        <w:rPr/>
        <w:t xml:space="preserve">Геодезиялық </w:t>
      </w:r>
      <w:r>
        <w:rPr>
          <w:lang w:val="kk-KZ"/>
        </w:rPr>
        <w:t>торды</w:t>
      </w:r>
      <w:r>
        <w:rPr/>
        <w:t>, оны дамыту және пайдалану әдістерін жобалау кезінде осы физикалық және географиялық жағдайларда экономикалық тұрғыдан неғұрлым тиімді нұсқалар таңдалуы керек.</w:t>
      </w:r>
    </w:p>
    <w:p>
      <w:pPr>
        <w:pStyle w:val="11"/>
        <w:rPr/>
      </w:pPr>
      <w:r>
        <w:rPr/>
        <w:t xml:space="preserve">Геодезиялық </w:t>
      </w:r>
      <w:r>
        <w:rPr>
          <w:lang w:val="kk-KZ"/>
        </w:rPr>
        <w:t>тордың</w:t>
      </w:r>
      <w:r>
        <w:rPr/>
        <w:t xml:space="preserve"> тығыздығын одан әрі арттыруға қызмет ететін қалыңдататын геодезиялық желілер (бұрын жергілікті маңызы бар желілер деп аталған) мыналарға бөлінеді:</w:t>
      </w:r>
    </w:p>
    <w:p>
      <w:pPr>
        <w:pStyle w:val="11"/>
        <w:rPr/>
      </w:pPr>
      <w:r>
        <w:rPr/>
        <w:t xml:space="preserve">- триангуляция әдісімен дамыған 1 және 2 разрядты </w:t>
      </w:r>
      <w:r>
        <w:rPr>
          <w:lang w:val="kk-KZ"/>
        </w:rPr>
        <w:t>торлар</w:t>
      </w:r>
      <w:r>
        <w:rPr/>
        <w:t xml:space="preserve">, - </w:t>
      </w:r>
      <w:r>
        <w:rPr>
          <w:lang w:val="kk-KZ"/>
        </w:rPr>
        <w:t xml:space="preserve">жиілету </w:t>
      </w:r>
      <w:r>
        <w:rPr/>
        <w:t xml:space="preserve">триангуляциялық </w:t>
      </w:r>
      <w:r>
        <w:rPr>
          <w:lang w:val="kk-KZ"/>
        </w:rPr>
        <w:t>торлары</w:t>
      </w:r>
      <w:r>
        <w:rPr/>
        <w:t xml:space="preserve"> (бұрын аналитикалық </w:t>
      </w:r>
      <w:r>
        <w:rPr>
          <w:lang w:val="kk-KZ"/>
        </w:rPr>
        <w:t>торлар</w:t>
      </w:r>
      <w:r>
        <w:rPr/>
        <w:t xml:space="preserve"> деп аталған);</w:t>
      </w:r>
    </w:p>
    <w:p>
      <w:pPr>
        <w:pStyle w:val="11"/>
        <w:rPr/>
      </w:pPr>
      <w:r>
        <w:rPr/>
        <w:t xml:space="preserve">- полигонометрия әдісімен дамытылатын 1 және 2 разрядты </w:t>
      </w:r>
      <w:r>
        <w:rPr>
          <w:lang w:val="kk-KZ"/>
        </w:rPr>
        <w:t>торлар</w:t>
      </w:r>
      <w:r>
        <w:rPr/>
        <w:t>;</w:t>
      </w:r>
    </w:p>
    <w:p>
      <w:pPr>
        <w:pStyle w:val="11"/>
        <w:rPr/>
      </w:pPr>
      <w:r>
        <w:rPr/>
        <w:t xml:space="preserve">- геометриялық нивелирлеу әдісімен дамытылатын </w:t>
      </w:r>
      <w:r>
        <w:rPr>
          <w:lang w:val="kk-KZ"/>
        </w:rPr>
        <w:t>т</w:t>
      </w:r>
      <w:r>
        <w:rPr/>
        <w:t xml:space="preserve">ехникалық нивелирлеу </w:t>
      </w:r>
      <w:r>
        <w:rPr>
          <w:lang w:val="kk-KZ"/>
        </w:rPr>
        <w:t>торлары.</w:t>
      </w:r>
    </w:p>
    <w:p>
      <w:pPr>
        <w:pStyle w:val="11"/>
        <w:rPr/>
      </w:pPr>
      <w:r>
        <w:rPr>
          <w:lang w:val="kk-KZ"/>
        </w:rPr>
        <w:t xml:space="preserve">Жиілету </w:t>
      </w:r>
      <w:r>
        <w:rPr/>
        <w:t xml:space="preserve">желілері, әдетте, </w:t>
      </w:r>
      <w:r>
        <w:rPr>
          <w:lang w:val="kk-KZ"/>
        </w:rPr>
        <w:t>м</w:t>
      </w:r>
      <w:r>
        <w:rPr/>
        <w:t xml:space="preserve">емлекеттік </w:t>
      </w:r>
      <w:r>
        <w:rPr>
          <w:lang w:val="kk-KZ"/>
        </w:rPr>
        <w:t>г</w:t>
      </w:r>
      <w:r>
        <w:rPr/>
        <w:t xml:space="preserve">еодезиялық </w:t>
      </w:r>
      <w:r>
        <w:rPr>
          <w:lang w:val="kk-KZ"/>
        </w:rPr>
        <w:t>тордың т</w:t>
      </w:r>
      <w:r>
        <w:rPr/>
        <w:t>араптары мен пункттері арасында салынады. Тұрақты белгілер орталық - Жер асты белгілерімен бекітіледі. Орталықтардың конструкциялары ұзақ уақыт бойы олардың сақталуын және жағдайының өзгермеуін қамтамасыз етеді. Әдетте, жер асты орталығы - бұл топырақтың қату тереңдігінен төмен және жаппай емес бетон монолиті. Орталықтардың конструкциялары ұзақ уақыт бойы олардың сақталуын және жағдайының өзгермеуін қамтамасыз етеді. Әдетте, жер асты орталығы - бұл топырақтың қату тереңдігінен төмен және жаппай емес бетон монолиті. Бір белгіден екіншісіне (іргелес) көріну үшін жер асты орталықтарының үстіне металл немесе ағаш үш немесе төрт қырлы пирамидалар немесе сигналдар түрінде сыртқы белгі орнатылады. Пирамидалар немесе сигналдар биіктігі 3...30 м немесе одан жоғары.</w:t>
      </w:r>
    </w:p>
    <w:p>
      <w:pPr>
        <w:pStyle w:val="11"/>
        <w:rPr/>
      </w:pPr>
      <w:r>
        <w:rPr/>
        <w:t xml:space="preserve">Әдетте, бөлу </w:t>
      </w:r>
      <w:r>
        <w:rPr>
          <w:lang w:val="kk-KZ"/>
        </w:rPr>
        <w:t>торлары</w:t>
      </w:r>
      <w:r>
        <w:rPr/>
        <w:t xml:space="preserve"> мен </w:t>
      </w:r>
      <w:r>
        <w:rPr>
          <w:lang w:val="kk-KZ"/>
        </w:rPr>
        <w:t>жиілету торларының</w:t>
      </w:r>
      <w:r>
        <w:rPr/>
        <w:t xml:space="preserve"> пункттері мемлекеттік </w:t>
      </w:r>
      <w:r>
        <w:rPr>
          <w:lang w:val="kk-KZ"/>
        </w:rPr>
        <w:t>торлар</w:t>
      </w:r>
      <w:r>
        <w:rPr/>
        <w:t xml:space="preserve"> пункттері сияқты жер асты орталықтарымен бекітіледі. Бұл нүктелер арасындағы қашықтық салыстырмалы түрде аз болғандықтан, оларды сыртқы белгілермен безендіру қажет емес. Кейде олардың үстіне </w:t>
      </w:r>
      <w:r>
        <w:rPr>
          <w:lang w:val="kk-KZ"/>
        </w:rPr>
        <w:t>Г</w:t>
      </w:r>
      <w:r>
        <w:rPr/>
        <w:t xml:space="preserve">-тәрізді металл немесе ағаш кезеңдер орнатылады. Қалаларда белгілер ғимараттардың шатырларында немесе ғимараттардың ішінде (қабырға) арнайы қондырма түрінде жасалады. Барлық кластардың мемлекеттік биіктік  </w:t>
      </w:r>
      <w:r>
        <w:rPr>
          <w:lang w:val="kk-KZ"/>
        </w:rPr>
        <w:t>торы</w:t>
      </w:r>
      <w:r>
        <w:rPr/>
        <w:t xml:space="preserve"> жерге топырақ реперлерімен бекітіледі. Қабырғалық реперлер тұрақты құрылымдардың – су мұнараларының, күрделі ғимараттардың, көпірлердің тас негіздерінің іргетастарына салынған. Уақытша белгілер. Түсіру және кейде бөлу </w:t>
      </w:r>
      <w:r>
        <w:rPr>
          <w:lang w:val="kk-KZ"/>
        </w:rPr>
        <w:t>торларының</w:t>
      </w:r>
      <w:r>
        <w:rPr/>
        <w:t xml:space="preserve"> нүктелері уақытша белгілермен бекітіледі - ағаш немесе бетон тіректері, металл түйреуіштер, рельс бөліктері және т. б. Олар жерге 2 м тереңдікке бекітілген. </w:t>
      </w:r>
      <w:r>
        <w:rPr>
          <w:lang w:val="kk-KZ"/>
        </w:rPr>
        <w:t>М</w:t>
      </w:r>
      <w:r>
        <w:rPr/>
        <w:t xml:space="preserve">ұндай белгінің жоғарғы бөлігінде </w:t>
      </w:r>
      <w:r>
        <w:rPr>
          <w:lang w:val="kk-KZ"/>
        </w:rPr>
        <w:t>о</w:t>
      </w:r>
      <w:r>
        <w:rPr/>
        <w:t>рталықтың немесе биіктік белгісі бар нүктенің орналасқан жері крестпен, нүктемен немесе тәуекелмен белгіленеді. Пайдалануды жалғастырған кезде (0,5 г астам) уақытша белгілерді 0,5 м тереңдікке қояды (топырақ бетінен жер асты коммуникацияларына дейінгі ең аз қашықтық 0,7 м) Қатты жабын болған кезде және көліктің қарқынды қозғалысы болмаған кезде арматура мен құбырлар бөліктерінен істіктер, ағаш үстелдер қолданылады. Құрылыс процесінде тұрғызылған құрылымдар мен жақын орналасқан ғимараттарда осьтердің биіктіктері мен жармалары түстермен бекітіледі.</w:t>
      </w:r>
    </w:p>
    <w:p>
      <w:pPr>
        <w:pStyle w:val="11"/>
        <w:rPr/>
      </w:pPr>
      <w:r>
        <w:rPr/>
      </w:r>
    </w:p>
    <w:p>
      <w:pPr>
        <w:pStyle w:val="11"/>
        <w:rPr>
          <w:b/>
          <w:b/>
        </w:rPr>
      </w:pPr>
      <w:r>
        <w:rPr>
          <w:b/>
        </w:rPr>
        <w:t>13.1 Триангуляция</w:t>
      </w:r>
    </w:p>
    <w:p>
      <w:pPr>
        <w:pStyle w:val="11"/>
        <w:rPr>
          <w:i/>
          <w:i/>
        </w:rPr>
      </w:pPr>
      <w:r>
        <w:rPr>
          <w:i/>
        </w:rPr>
      </w:r>
    </w:p>
    <w:p>
      <w:pPr>
        <w:pStyle w:val="11"/>
        <w:rPr/>
      </w:pPr>
      <w:r>
        <w:rPr/>
        <w:t xml:space="preserve">Триангуляция - бір үшбұрыштың көлденең бұрыштары мен бүйірінің ұзындығы өлшенетін бір-біріне жақын орналасқан үшбұрыштардың құрылысы. Инженерлік-геодезиялық жұмыстардағы триангуляциялық </w:t>
      </w:r>
      <w:r>
        <w:rPr>
          <w:lang w:val="kk-KZ"/>
        </w:rPr>
        <w:t xml:space="preserve">торлар </w:t>
      </w:r>
      <w:r>
        <w:rPr/>
        <w:t>топографиялық түсірілімдер мен бөлу жұмыстары үшін, сондай-ақ құрылыстардың деформацияларын бақылау үшін негіз ретінде пайдаланылады.</w:t>
      </w:r>
    </w:p>
    <w:p>
      <w:pPr>
        <w:pStyle w:val="11"/>
        <w:rPr/>
      </w:pPr>
      <w:r>
        <w:rPr/>
        <w:t xml:space="preserve">Триангуляция әдісімен инженерлік-геодезиялық </w:t>
      </w:r>
      <w:r>
        <w:rPr>
          <w:lang w:val="kk-KZ"/>
        </w:rPr>
        <w:t>торларлы</w:t>
      </w:r>
      <w:r>
        <w:rPr/>
        <w:t xml:space="preserve"> дамыту кезінде үшбұрыштардың тізбектері (сызықты созылған объектілер үшін), орталық жүйелер (қалалық және өнеркәсіптік аумақтар үшін), геодезиялық төртбұрыштар (көпір және гидротехникалық құрылыстар үшін), үшбұрыштарға пункттер салу және осы фигуралардың шағын </w:t>
      </w:r>
      <w:r>
        <w:rPr>
          <w:lang w:val="kk-KZ"/>
        </w:rPr>
        <w:t>торлары</w:t>
      </w:r>
      <w:r>
        <w:rPr/>
        <w:t xml:space="preserve"> неғұрлым типтік құрылыстар болып табылады. Бірақ аралас құрылыстар да мүмкін. Триангуляция желілерінде үшбұрыштар тең жақты, ерекше жағдайларда өткір бұрыштарды 20 – ға дейін, ал доғал бұрыштарды 140-қа дейін жобалауға тырысады. Бос желілерде желі масштабын бақылау үшін 2-ден аспайтын тікелей өлшенген базистік жақтары болуы қажет. Үшбұрыштарды I-II бастапқы жағынан (1-сурет) кезекпен шеше отырып, біз </w:t>
      </w:r>
      <w:r>
        <w:rPr>
          <w:lang w:val="kk-KZ"/>
        </w:rPr>
        <w:t>ү</w:t>
      </w:r>
      <w:r>
        <w:rPr/>
        <w:t xml:space="preserve">шбұрыш жүйесінің барлық жақтарын табамыз. Егер I нүкте үшін </w:t>
      </w:r>
      <w:r>
        <w:rPr>
          <w:lang w:val="kk-KZ"/>
        </w:rPr>
        <w:t xml:space="preserve">х </w:t>
      </w:r>
      <w:r>
        <w:rPr/>
        <w:t xml:space="preserve">және у координаттары және I-II бағыттың α </w:t>
      </w:r>
      <w:r>
        <w:rPr>
          <w:lang w:val="kk-KZ"/>
        </w:rPr>
        <w:t>д</w:t>
      </w:r>
      <w:r>
        <w:rPr/>
        <w:t>ирекци</w:t>
      </w:r>
      <w:r>
        <w:rPr>
          <w:lang w:val="kk-KZ"/>
        </w:rPr>
        <w:t>ондық</w:t>
      </w:r>
      <w:r>
        <w:rPr/>
        <w:t xml:space="preserve"> бұрышы берілсе, онда есептеулерден біз үшбұрыштардың барлық жақтарының бағыттаушы бұрыштарын және геодезиялық нүктелер немесе дәлірек айтқанда триангуляция нүктелері деп аталатын II, III, IV, V,... шыңдарының координаталарын аламыз. Тікелей өлшенетін I-II жағы негізгі жағы деп аталады, ал координаттары мен азимуты берілген i нүкте триангуляцияның бастапқы нүктесі деп аталады.</w:t>
      </w:r>
    </w:p>
    <w:p>
      <w:pPr>
        <w:pStyle w:val="11"/>
        <w:rPr/>
      </w:pPr>
      <w:r>
        <w:rPr/>
      </w:r>
    </w:p>
    <w:p>
      <w:pPr>
        <w:pStyle w:val="11"/>
        <w:rPr/>
      </w:pPr>
      <w:r>
        <w:rPr/>
        <w:drawing>
          <wp:inline distT="0" distB="9525" distL="0" distR="0">
            <wp:extent cx="1676400" cy="962025"/>
            <wp:effectExtent l="0" t="0" r="0" b="0"/>
            <wp:docPr id="1" name="Рисунок 259" descr="http://www.bestreferat.ru/images/paper/98/60/81960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259" descr="http://www.bestreferat.ru/images/paper/98/60/8196098.jpeg"/>
                    <pic:cNvPicPr>
                      <a:picLocks noChangeAspect="1" noChangeArrowheads="1"/>
                    </pic:cNvPicPr>
                  </pic:nvPicPr>
                  <pic:blipFill>
                    <a:blip r:embed="rId2"/>
                    <a:stretch>
                      <a:fillRect/>
                    </a:stretch>
                  </pic:blipFill>
                  <pic:spPr bwMode="auto">
                    <a:xfrm>
                      <a:off x="0" y="0"/>
                      <a:ext cx="1676400" cy="962025"/>
                    </a:xfrm>
                    <a:prstGeom prst="rect">
                      <a:avLst/>
                    </a:prstGeom>
                  </pic:spPr>
                </pic:pic>
              </a:graphicData>
            </a:graphic>
          </wp:inline>
        </w:drawing>
      </w:r>
      <w:r>
        <w:rPr/>
        <w:t xml:space="preserve">  </w:t>
      </w:r>
    </w:p>
    <w:p>
      <w:pPr>
        <w:pStyle w:val="11"/>
        <w:ind w:hanging="0"/>
        <w:rPr/>
      </w:pPr>
      <w:r>
        <w:rPr/>
        <w:t xml:space="preserve">   </w:t>
      </w:r>
      <w:r>
        <w:rPr/>
        <w:t xml:space="preserve">1 -Триангуляция </w:t>
      </w:r>
      <w:r>
        <w:rPr>
          <w:lang w:val="kk-KZ"/>
        </w:rPr>
        <w:t>және</w:t>
      </w:r>
      <w:r>
        <w:rPr/>
        <w:t xml:space="preserve"> трилатерация</w:t>
      </w:r>
    </w:p>
    <w:p>
      <w:pPr>
        <w:pStyle w:val="11"/>
        <w:rPr/>
      </w:pPr>
      <w:r>
        <w:rPr/>
        <w:br/>
      </w:r>
      <w:r>
        <w:rPr>
          <w:lang w:val="kk-KZ"/>
        </w:rPr>
        <w:t>Кесте 1.</w:t>
      </w:r>
      <w:r>
        <w:rPr/>
        <w:t xml:space="preserve"> – Триангуляциялық </w:t>
      </w:r>
      <w:r>
        <w:rPr>
          <w:lang w:val="kk-KZ"/>
        </w:rPr>
        <w:t>торардың</w:t>
      </w:r>
      <w:r>
        <w:rPr/>
        <w:t xml:space="preserve"> негізгі сипаттамалары</w:t>
      </w:r>
    </w:p>
    <w:tbl>
      <w:tblPr>
        <w:tblW w:w="9371" w:type="dxa"/>
        <w:jc w:val="left"/>
        <w:tblInd w:w="0"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CellMar>
          <w:top w:w="0" w:type="dxa"/>
          <w:left w:w="0" w:type="dxa"/>
          <w:bottom w:w="0" w:type="dxa"/>
          <w:right w:w="0" w:type="dxa"/>
        </w:tblCellMar>
        <w:tblLook w:val="04a0"/>
      </w:tblPr>
      <w:tblGrid>
        <w:gridCol w:w="6093"/>
        <w:gridCol w:w="822"/>
        <w:gridCol w:w="822"/>
        <w:gridCol w:w="823"/>
        <w:gridCol w:w="811"/>
      </w:tblGrid>
      <w:tr>
        <w:trPr/>
        <w:tc>
          <w:tcPr>
            <w:tcW w:w="609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lang w:val="kk-KZ"/>
              </w:rPr>
            </w:pPr>
            <w:r>
              <w:rPr>
                <w:lang w:val="kk-KZ"/>
              </w:rPr>
              <w:t>Көрсеткіш</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1 класс</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2 класс</w:t>
            </w:r>
          </w:p>
        </w:tc>
        <w:tc>
          <w:tcPr>
            <w:tcW w:w="82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3 класс</w:t>
            </w:r>
          </w:p>
        </w:tc>
        <w:tc>
          <w:tcPr>
            <w:tcW w:w="81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4 класс</w:t>
            </w:r>
          </w:p>
        </w:tc>
      </w:tr>
      <w:tr>
        <w:trPr/>
        <w:tc>
          <w:tcPr>
            <w:tcW w:w="609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Триангуляция буынының ұзындығы</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200</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w:t>
            </w:r>
          </w:p>
        </w:tc>
        <w:tc>
          <w:tcPr>
            <w:tcW w:w="82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w:t>
            </w:r>
          </w:p>
        </w:tc>
        <w:tc>
          <w:tcPr>
            <w:tcW w:w="81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w:t>
            </w:r>
          </w:p>
        </w:tc>
      </w:tr>
      <w:tr>
        <w:trPr/>
        <w:tc>
          <w:tcPr>
            <w:tcW w:w="609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Үшбұрыш жағының орташа ұзындығы</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20-25</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7-20</w:t>
            </w:r>
          </w:p>
        </w:tc>
        <w:tc>
          <w:tcPr>
            <w:tcW w:w="82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5-8</w:t>
            </w:r>
          </w:p>
        </w:tc>
        <w:tc>
          <w:tcPr>
            <w:tcW w:w="81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2-5</w:t>
            </w:r>
          </w:p>
        </w:tc>
      </w:tr>
      <w:tr>
        <w:trPr/>
        <w:tc>
          <w:tcPr>
            <w:tcW w:w="609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Шығу жағының салыстырмалы қатесі</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drawing>
                <wp:inline distT="0" distB="9525" distL="0" distR="0">
                  <wp:extent cx="323850" cy="238125"/>
                  <wp:effectExtent l="0" t="0" r="0" b="0"/>
                  <wp:docPr id="2" name="Рисунок 258" descr="http://www.bestreferat.ru/images/paper/99/60/81960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58" descr="http://www.bestreferat.ru/images/paper/99/60/8196099.png"/>
                          <pic:cNvPicPr>
                            <a:picLocks noChangeAspect="1" noChangeArrowheads="1"/>
                          </pic:cNvPicPr>
                        </pic:nvPicPr>
                        <pic:blipFill>
                          <a:blip r:embed="rId3"/>
                          <a:stretch>
                            <a:fillRect/>
                          </a:stretch>
                        </pic:blipFill>
                        <pic:spPr bwMode="auto">
                          <a:xfrm>
                            <a:off x="0" y="0"/>
                            <a:ext cx="323850" cy="238125"/>
                          </a:xfrm>
                          <a:prstGeom prst="rect">
                            <a:avLst/>
                          </a:prstGeom>
                        </pic:spPr>
                      </pic:pic>
                    </a:graphicData>
                  </a:graphic>
                </wp:inline>
              </w:drawing>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drawing>
                <wp:inline distT="0" distB="0" distL="0" distR="0">
                  <wp:extent cx="304800" cy="228600"/>
                  <wp:effectExtent l="0" t="0" r="0" b="0"/>
                  <wp:docPr id="3" name="Рисунок 257" descr="http://www.bestreferat.ru/images/paper/00/61/8196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57" descr="http://www.bestreferat.ru/images/paper/00/61/8196100.png"/>
                          <pic:cNvPicPr>
                            <a:picLocks noChangeAspect="1" noChangeArrowheads="1"/>
                          </pic:cNvPicPr>
                        </pic:nvPicPr>
                        <pic:blipFill>
                          <a:blip r:embed="rId4"/>
                          <a:stretch>
                            <a:fillRect/>
                          </a:stretch>
                        </pic:blipFill>
                        <pic:spPr bwMode="auto">
                          <a:xfrm>
                            <a:off x="0" y="0"/>
                            <a:ext cx="304800" cy="228600"/>
                          </a:xfrm>
                          <a:prstGeom prst="rect">
                            <a:avLst/>
                          </a:prstGeom>
                        </pic:spPr>
                      </pic:pic>
                    </a:graphicData>
                  </a:graphic>
                </wp:inline>
              </w:drawing>
            </w:r>
          </w:p>
        </w:tc>
        <w:tc>
          <w:tcPr>
            <w:tcW w:w="82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drawing>
                <wp:inline distT="0" distB="0" distL="0" distR="0">
                  <wp:extent cx="285750" cy="209550"/>
                  <wp:effectExtent l="0" t="0" r="0" b="0"/>
                  <wp:docPr id="4" name="Рисунок 256" descr="http://www.bestreferat.ru/images/paper/01/61/8196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256" descr="http://www.bestreferat.ru/images/paper/01/61/8196101.png"/>
                          <pic:cNvPicPr>
                            <a:picLocks noChangeAspect="1" noChangeArrowheads="1"/>
                          </pic:cNvPicPr>
                        </pic:nvPicPr>
                        <pic:blipFill>
                          <a:blip r:embed="rId5"/>
                          <a:stretch>
                            <a:fillRect/>
                          </a:stretch>
                        </pic:blipFill>
                        <pic:spPr bwMode="auto">
                          <a:xfrm>
                            <a:off x="0" y="0"/>
                            <a:ext cx="285750" cy="209550"/>
                          </a:xfrm>
                          <a:prstGeom prst="rect">
                            <a:avLst/>
                          </a:prstGeom>
                        </pic:spPr>
                      </pic:pic>
                    </a:graphicData>
                  </a:graphic>
                </wp:inline>
              </w:drawing>
            </w:r>
          </w:p>
        </w:tc>
        <w:tc>
          <w:tcPr>
            <w:tcW w:w="81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drawing>
                <wp:inline distT="0" distB="9525" distL="0" distR="0">
                  <wp:extent cx="323850" cy="238125"/>
                  <wp:effectExtent l="0" t="0" r="0" b="0"/>
                  <wp:docPr id="5" name="Рисунок 255" descr="http://www.bestreferat.ru/images/paper/02/61/8196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255" descr="http://www.bestreferat.ru/images/paper/02/61/8196102.png"/>
                          <pic:cNvPicPr>
                            <a:picLocks noChangeAspect="1" noChangeArrowheads="1"/>
                          </pic:cNvPicPr>
                        </pic:nvPicPr>
                        <pic:blipFill>
                          <a:blip r:embed="rId6"/>
                          <a:stretch>
                            <a:fillRect/>
                          </a:stretch>
                        </pic:blipFill>
                        <pic:spPr bwMode="auto">
                          <a:xfrm>
                            <a:off x="0" y="0"/>
                            <a:ext cx="323850" cy="238125"/>
                          </a:xfrm>
                          <a:prstGeom prst="rect">
                            <a:avLst/>
                          </a:prstGeom>
                        </pic:spPr>
                      </pic:pic>
                    </a:graphicData>
                  </a:graphic>
                </wp:inline>
              </w:drawing>
            </w:r>
          </w:p>
        </w:tc>
      </w:tr>
      <w:tr>
        <w:trPr/>
        <w:tc>
          <w:tcPr>
            <w:tcW w:w="609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Әлсіз жерде жақтың шамамен салыстырмалы қателігі</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drawing>
                <wp:inline distT="0" distB="9525" distL="0" distR="9525">
                  <wp:extent cx="409575" cy="295275"/>
                  <wp:effectExtent l="0" t="0" r="0" b="0"/>
                  <wp:docPr id="6" name="Рисунок 254" descr="http://www.bestreferat.ru/images/paper/03/61/8196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254" descr="http://www.bestreferat.ru/images/paper/03/61/8196103.png"/>
                          <pic:cNvPicPr>
                            <a:picLocks noChangeAspect="1" noChangeArrowheads="1"/>
                          </pic:cNvPicPr>
                        </pic:nvPicPr>
                        <pic:blipFill>
                          <a:blip r:embed="rId7"/>
                          <a:stretch>
                            <a:fillRect/>
                          </a:stretch>
                        </pic:blipFill>
                        <pic:spPr bwMode="auto">
                          <a:xfrm>
                            <a:off x="0" y="0"/>
                            <a:ext cx="409575" cy="295275"/>
                          </a:xfrm>
                          <a:prstGeom prst="rect">
                            <a:avLst/>
                          </a:prstGeom>
                        </pic:spPr>
                      </pic:pic>
                    </a:graphicData>
                  </a:graphic>
                </wp:inline>
              </w:drawing>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drawing>
                <wp:inline distT="0" distB="9525" distL="0" distR="9525">
                  <wp:extent cx="428625" cy="314325"/>
                  <wp:effectExtent l="0" t="0" r="0" b="0"/>
                  <wp:docPr id="7" name="Рисунок 253" descr="http://www.bestreferat.ru/images/paper/04/61/8196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253" descr="http://www.bestreferat.ru/images/paper/04/61/8196104.png"/>
                          <pic:cNvPicPr>
                            <a:picLocks noChangeAspect="1" noChangeArrowheads="1"/>
                          </pic:cNvPicPr>
                        </pic:nvPicPr>
                        <pic:blipFill>
                          <a:blip r:embed="rId8"/>
                          <a:stretch>
                            <a:fillRect/>
                          </a:stretch>
                        </pic:blipFill>
                        <pic:spPr bwMode="auto">
                          <a:xfrm>
                            <a:off x="0" y="0"/>
                            <a:ext cx="428625" cy="314325"/>
                          </a:xfrm>
                          <a:prstGeom prst="rect">
                            <a:avLst/>
                          </a:prstGeom>
                        </pic:spPr>
                      </pic:pic>
                    </a:graphicData>
                  </a:graphic>
                </wp:inline>
              </w:drawing>
            </w:r>
          </w:p>
        </w:tc>
        <w:tc>
          <w:tcPr>
            <w:tcW w:w="82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drawing>
                <wp:inline distT="0" distB="9525" distL="0" distR="9525">
                  <wp:extent cx="390525" cy="333375"/>
                  <wp:effectExtent l="0" t="0" r="0" b="0"/>
                  <wp:docPr id="8" name="Рисунок 252" descr="http://www.bestreferat.ru/images/paper/05/61/8196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252" descr="http://www.bestreferat.ru/images/paper/05/61/8196105.png"/>
                          <pic:cNvPicPr>
                            <a:picLocks noChangeAspect="1" noChangeArrowheads="1"/>
                          </pic:cNvPicPr>
                        </pic:nvPicPr>
                        <pic:blipFill>
                          <a:blip r:embed="rId9"/>
                          <a:stretch>
                            <a:fillRect/>
                          </a:stretch>
                        </pic:blipFill>
                        <pic:spPr bwMode="auto">
                          <a:xfrm>
                            <a:off x="0" y="0"/>
                            <a:ext cx="390525" cy="333375"/>
                          </a:xfrm>
                          <a:prstGeom prst="rect">
                            <a:avLst/>
                          </a:prstGeom>
                        </pic:spPr>
                      </pic:pic>
                    </a:graphicData>
                  </a:graphic>
                </wp:inline>
              </w:drawing>
            </w:r>
          </w:p>
        </w:tc>
        <w:tc>
          <w:tcPr>
            <w:tcW w:w="81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drawing>
                <wp:inline distT="0" distB="9525" distL="0" distR="0">
                  <wp:extent cx="342900" cy="295275"/>
                  <wp:effectExtent l="0" t="0" r="0" b="0"/>
                  <wp:docPr id="9" name="Рисунок 251" descr="http://www.bestreferat.ru/images/paper/06/61/8196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251" descr="http://www.bestreferat.ru/images/paper/06/61/8196106.png"/>
                          <pic:cNvPicPr>
                            <a:picLocks noChangeAspect="1" noChangeArrowheads="1"/>
                          </pic:cNvPicPr>
                        </pic:nvPicPr>
                        <pic:blipFill>
                          <a:blip r:embed="rId10"/>
                          <a:stretch>
                            <a:fillRect/>
                          </a:stretch>
                        </pic:blipFill>
                        <pic:spPr bwMode="auto">
                          <a:xfrm>
                            <a:off x="0" y="0"/>
                            <a:ext cx="342900" cy="295275"/>
                          </a:xfrm>
                          <a:prstGeom prst="rect">
                            <a:avLst/>
                          </a:prstGeom>
                        </pic:spPr>
                      </pic:pic>
                    </a:graphicData>
                  </a:graphic>
                </wp:inline>
              </w:drawing>
            </w:r>
          </w:p>
        </w:tc>
      </w:tr>
      <w:tr>
        <w:trPr/>
        <w:tc>
          <w:tcPr>
            <w:tcW w:w="609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Үшбұрыш бұрышының ең аз мәні</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40˚</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20˚</w:t>
            </w:r>
          </w:p>
        </w:tc>
        <w:tc>
          <w:tcPr>
            <w:tcW w:w="82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20˚</w:t>
            </w:r>
          </w:p>
        </w:tc>
        <w:tc>
          <w:tcPr>
            <w:tcW w:w="81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20˚</w:t>
            </w:r>
          </w:p>
        </w:tc>
      </w:tr>
      <w:tr>
        <w:trPr/>
        <w:tc>
          <w:tcPr>
            <w:tcW w:w="609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lang w:val="kk-KZ"/>
              </w:rPr>
            </w:pPr>
            <w:r>
              <w:rPr>
                <w:lang w:val="kk-KZ"/>
              </w:rPr>
              <w:t>Бұрыштың орташа квадраттық қатесі</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±0,7´´</w:t>
            </w:r>
          </w:p>
        </w:tc>
        <w:tc>
          <w:tcPr>
            <w:tcW w:w="82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±1´´</w:t>
            </w:r>
          </w:p>
        </w:tc>
        <w:tc>
          <w:tcPr>
            <w:tcW w:w="823"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±1,5´´</w:t>
            </w:r>
          </w:p>
        </w:tc>
        <w:tc>
          <w:tcPr>
            <w:tcW w:w="81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color="auto" w:fill="FFFFDD" w:val="clear"/>
          </w:tcPr>
          <w:p>
            <w:pPr>
              <w:pStyle w:val="11"/>
              <w:rPr/>
            </w:pPr>
            <w:r>
              <w:rPr/>
              <w:t>±2´´</w:t>
            </w:r>
          </w:p>
        </w:tc>
      </w:tr>
    </w:tbl>
    <w:p>
      <w:pPr>
        <w:pStyle w:val="11"/>
        <w:rPr>
          <w:i/>
          <w:i/>
          <w:lang w:val="en-US"/>
        </w:rPr>
      </w:pPr>
      <w:r>
        <w:rPr>
          <w:i/>
          <w:lang w:val="en-US"/>
        </w:rPr>
      </w:r>
    </w:p>
    <w:p>
      <w:pPr>
        <w:pStyle w:val="11"/>
        <w:rPr>
          <w:b/>
          <w:b/>
          <w:lang w:val="en-US"/>
        </w:rPr>
      </w:pPr>
      <w:r>
        <w:rPr>
          <w:b/>
          <w:lang w:val="en-US"/>
        </w:rPr>
        <w:t>13</w:t>
      </w:r>
      <w:r>
        <w:rPr>
          <w:b/>
        </w:rPr>
        <w:t>.2 Трилатерация</w:t>
      </w:r>
    </w:p>
    <w:p>
      <w:pPr>
        <w:pStyle w:val="11"/>
        <w:rPr>
          <w:i/>
          <w:i/>
          <w:lang w:val="en-US"/>
        </w:rPr>
      </w:pPr>
      <w:r>
        <w:rPr>
          <w:i/>
          <w:lang w:val="en-US"/>
        </w:rPr>
      </w:r>
    </w:p>
    <w:p>
      <w:pPr>
        <w:pStyle w:val="11"/>
        <w:rPr/>
      </w:pPr>
      <w:r>
        <w:rPr/>
        <w:t xml:space="preserve">Трилатерация-бір-біріне жақын орналасқан үшбұрыштардың құрылысы және олардың барлық жақтарының ұзындығын өлшеу. Инженерлік – геодезиялық мәселелерді шешу үшін құрылған трилатерация </w:t>
      </w:r>
      <w:r>
        <w:rPr>
          <w:lang w:val="kk-KZ"/>
        </w:rPr>
        <w:t>торлары</w:t>
      </w:r>
      <w:r>
        <w:rPr/>
        <w:t xml:space="preserve"> көбінесе жеке типтік фигуралардан тұратын бос </w:t>
      </w:r>
      <w:r>
        <w:rPr>
          <w:lang w:val="kk-KZ"/>
        </w:rPr>
        <w:t>торлар</w:t>
      </w:r>
      <w:r>
        <w:rPr/>
        <w:t xml:space="preserve"> түрінде құрылады: геодезиялық төртбұрыштар, орталық жүйелер немесе үшбұрыштармен комбинациялар. Үшбұрыштар тригонометрия формулалары бойынша шешіледі, үшбұрыштардың бұрыштары 1-суреттегі үшбұрыштар жүйесінің элементтерін есептеуге ұқсас. Трилатерация </w:t>
      </w:r>
      <w:r>
        <w:rPr>
          <w:lang w:val="kk-KZ"/>
        </w:rPr>
        <w:t>торы</w:t>
      </w:r>
      <w:r>
        <w:rPr/>
        <w:t xml:space="preserve"> жоғары қабатты ғимараттарды, түтін құбырларын, атом электр станцияларын салу кезінде кеңінен қолданылды.</w:t>
      </w:r>
    </w:p>
    <w:p>
      <w:pPr>
        <w:pStyle w:val="11"/>
        <w:rPr/>
      </w:pPr>
      <w:r>
        <w:rPr/>
      </w:r>
    </w:p>
    <w:p>
      <w:pPr>
        <w:pStyle w:val="11"/>
        <w:rPr>
          <w:b/>
          <w:b/>
        </w:rPr>
      </w:pPr>
      <w:r>
        <w:rPr>
          <w:b/>
        </w:rPr>
        <w:t>13.3 Полигонометрия</w:t>
      </w:r>
    </w:p>
    <w:p>
      <w:pPr>
        <w:pStyle w:val="11"/>
        <w:rPr/>
      </w:pPr>
      <w:r>
        <w:rPr/>
      </w:r>
    </w:p>
    <w:p>
      <w:pPr>
        <w:pStyle w:val="11"/>
        <w:rPr/>
      </w:pPr>
      <w:r>
        <w:rPr/>
        <w:t xml:space="preserve">Полигонометрия - жергілікті жерде сынған ашық және жабық сызықтар мен D ұзындығын өлшеу жүйесін, сынған сызықты құрайтын жеке кесінділерді және іргелес </w:t>
      </w:r>
      <w:r>
        <w:rPr>
          <w:lang w:val="kk-KZ"/>
        </w:rPr>
        <w:t>ж</w:t>
      </w:r>
      <w:r>
        <w:rPr/>
        <w:t>ақтар арасындағы β бұрылыстың көлденең бұрыштарын құру (2-сурет). Полигонометрия әдісінде құрылыстың барлық элементтері тікелей өлшенеді, ал α бағыттаушы бұрыштары мен айналу бұрыштарының шыңдарының координаталары триангуляция әдісіндегідей негіздерде анықталады. Полигонометрия әдісі жалпы жағдайда жүрістің бірнеше жағы арқылы кейбір негізгі пункттерді бөлуді көздейді, олардың арасында бұрыштар неғұрлым жоғары дәлдікпен өлшенеді; бұл жағдайда жүрістің координаттарын анықтау аз қателіктермен жүргізіледі.</w:t>
      </w:r>
    </w:p>
    <w:p>
      <w:pPr>
        <w:pStyle w:val="11"/>
        <w:rPr/>
      </w:pPr>
      <w:r>
        <w:rPr/>
      </w:r>
    </w:p>
    <w:p>
      <w:pPr>
        <w:pStyle w:val="11"/>
        <w:rPr/>
      </w:pPr>
      <w:r>
        <w:rPr/>
        <w:drawing>
          <wp:inline distT="0" distB="9525" distL="0" distR="0">
            <wp:extent cx="3009900" cy="1323975"/>
            <wp:effectExtent l="0" t="0" r="0" b="0"/>
            <wp:docPr id="10" name="Рисунок 250" descr="http://www.bestreferat.ru/images/paper/07/61/8196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250" descr="http://www.bestreferat.ru/images/paper/07/61/8196107.jpeg"/>
                    <pic:cNvPicPr>
                      <a:picLocks noChangeAspect="1" noChangeArrowheads="1"/>
                    </pic:cNvPicPr>
                  </pic:nvPicPr>
                  <pic:blipFill>
                    <a:blip r:embed="rId11"/>
                    <a:stretch>
                      <a:fillRect/>
                    </a:stretch>
                  </pic:blipFill>
                  <pic:spPr bwMode="auto">
                    <a:xfrm>
                      <a:off x="0" y="0"/>
                      <a:ext cx="3009900" cy="1323975"/>
                    </a:xfrm>
                    <a:prstGeom prst="rect">
                      <a:avLst/>
                    </a:prstGeom>
                  </pic:spPr>
                </pic:pic>
              </a:graphicData>
            </a:graphic>
          </wp:inline>
        </w:drawing>
      </w:r>
    </w:p>
    <w:p>
      <w:pPr>
        <w:pStyle w:val="11"/>
        <w:rPr/>
      </w:pPr>
      <w:r>
        <w:rPr/>
        <w:t>Рисунок 2 – Полигонометрия</w:t>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swiss"/>
    <w:pitch w:val="variable"/>
  </w:font>
</w:fonts>
</file>

<file path=word/settings.xml><?xml version="1.0" encoding="utf-8"?>
<w:settings xmlns:w="http://schemas.openxmlformats.org/wordprocessingml/2006/main">
  <w:zoom w:percent="100"/>
  <w:defaultTabStop w:val="708"/>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371578"/>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1" w:customStyle="1">
    <w:name w:val="Стиль1 Знак"/>
    <w:basedOn w:val="DefaultParagraphFont"/>
    <w:link w:val="1"/>
    <w:qFormat/>
    <w:rsid w:val="00371578"/>
    <w:rPr>
      <w:rFonts w:ascii="Times New Roman" w:hAnsi="Times New Roman" w:cs="Times New Roman"/>
      <w:sz w:val="28"/>
      <w:szCs w:val="28"/>
    </w:rPr>
  </w:style>
  <w:style w:type="character" w:styleId="Style14" w:customStyle="1">
    <w:name w:val="Текст выноски Знак"/>
    <w:basedOn w:val="DefaultParagraphFont"/>
    <w:link w:val="a3"/>
    <w:uiPriority w:val="99"/>
    <w:semiHidden/>
    <w:qFormat/>
    <w:rsid w:val="00371578"/>
    <w:rPr>
      <w:rFonts w:ascii="Tahoma" w:hAnsi="Tahoma" w:cs="Tahoma"/>
      <w:sz w:val="16"/>
      <w:szCs w:val="16"/>
    </w:rPr>
  </w:style>
  <w:style w:type="paragraph" w:styleId="Style15">
    <w:name w:val="Заголовок"/>
    <w:basedOn w:val="Normal"/>
    <w:next w:val="Style16"/>
    <w:qFormat/>
    <w:pPr>
      <w:keepNext w:val="true"/>
      <w:spacing w:before="240" w:after="120"/>
    </w:pPr>
    <w:rPr>
      <w:rFonts w:ascii="Liberation Sans" w:hAnsi="Liberation Sans" w:eastAsia="Microsoft YaHei" w:cs="Ari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Arial"/>
    </w:rPr>
  </w:style>
  <w:style w:type="paragraph" w:styleId="Style18">
    <w:name w:val="Caption"/>
    <w:basedOn w:val="Normal"/>
    <w:qFormat/>
    <w:pPr>
      <w:suppressLineNumbers/>
      <w:spacing w:before="120" w:after="120"/>
    </w:pPr>
    <w:rPr>
      <w:rFonts w:cs="Arial"/>
      <w:i/>
      <w:iCs/>
      <w:sz w:val="24"/>
      <w:szCs w:val="24"/>
    </w:rPr>
  </w:style>
  <w:style w:type="paragraph" w:styleId="Style19">
    <w:name w:val="Указатель"/>
    <w:basedOn w:val="Normal"/>
    <w:qFormat/>
    <w:pPr>
      <w:suppressLineNumbers/>
    </w:pPr>
    <w:rPr>
      <w:rFonts w:cs="Arial"/>
    </w:rPr>
  </w:style>
  <w:style w:type="paragraph" w:styleId="11" w:customStyle="1">
    <w:name w:val="Стиль1"/>
    <w:basedOn w:val="Normal"/>
    <w:link w:val="10"/>
    <w:qFormat/>
    <w:rsid w:val="00371578"/>
    <w:pPr>
      <w:spacing w:lineRule="auto" w:line="240" w:before="0" w:after="0"/>
      <w:ind w:firstLine="709"/>
      <w:jc w:val="both"/>
    </w:pPr>
    <w:rPr>
      <w:rFonts w:ascii="Times New Roman" w:hAnsi="Times New Roman" w:cs="Times New Roman"/>
      <w:sz w:val="28"/>
      <w:szCs w:val="28"/>
    </w:rPr>
  </w:style>
  <w:style w:type="paragraph" w:styleId="BalloonText">
    <w:name w:val="Balloon Text"/>
    <w:basedOn w:val="Normal"/>
    <w:link w:val="a4"/>
    <w:uiPriority w:val="99"/>
    <w:semiHidden/>
    <w:unhideWhenUsed/>
    <w:qFormat/>
    <w:rsid w:val="00371578"/>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jpeg"/><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Application>LibreOffice/6.0.4.2$Windows_X86_64 LibreOffice_project/9b0d9b32d5dcda91d2f1a96dc04c645c450872bf</Application>
  <Pages>5</Pages>
  <Words>1215</Words>
  <Characters>8977</Characters>
  <CharactersWithSpaces>10148</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2020-08-31T03:09:00Z</dcterms:created>
  <dc:creator>Ganat</dc:creator>
  <dc:description/>
  <dc:language>ru-RU</dc:language>
  <cp:lastModifiedBy/>
  <dcterms:modified xsi:type="dcterms:W3CDTF">2020-09-16T23:17:23Z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